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46" w:rsidRDefault="00DA3046" w:rsidP="00DA3046">
      <w:pPr>
        <w:ind w:left="357"/>
        <w:jc w:val="center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34B974CE" wp14:editId="49C2C83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5930" cy="466725"/>
            <wp:effectExtent l="0" t="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65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46" w:rsidRDefault="00DA3046" w:rsidP="00DA3046">
      <w:pPr>
        <w:ind w:left="357"/>
        <w:jc w:val="center"/>
        <w:rPr>
          <w:sz w:val="32"/>
          <w:szCs w:val="32"/>
        </w:rPr>
      </w:pPr>
    </w:p>
    <w:p w:rsidR="00DA3046" w:rsidRDefault="00DA3046" w:rsidP="00DA3046">
      <w:pPr>
        <w:ind w:left="357"/>
        <w:jc w:val="center"/>
        <w:rPr>
          <w:sz w:val="20"/>
          <w:szCs w:val="20"/>
        </w:rPr>
      </w:pPr>
    </w:p>
    <w:p w:rsidR="00DA3046" w:rsidRPr="00DA3046" w:rsidRDefault="00DA3046" w:rsidP="00DA3046">
      <w:pPr>
        <w:jc w:val="center"/>
        <w:rPr>
          <w:rFonts w:ascii="Verdana" w:hAnsi="Verdana"/>
          <w:b/>
          <w:sz w:val="20"/>
          <w:szCs w:val="20"/>
        </w:rPr>
      </w:pPr>
      <w:r w:rsidRPr="00DA3046">
        <w:rPr>
          <w:rFonts w:ascii="Verdana" w:hAnsi="Verdana"/>
          <w:b/>
          <w:sz w:val="20"/>
          <w:szCs w:val="20"/>
        </w:rPr>
        <w:t>Ministero dell’Istruzione dell’Università e della Ricerca</w:t>
      </w:r>
    </w:p>
    <w:p w:rsidR="00DA3046" w:rsidRPr="00DA3046" w:rsidRDefault="00DA3046" w:rsidP="00DA3046">
      <w:pPr>
        <w:spacing w:before="60"/>
        <w:jc w:val="center"/>
        <w:rPr>
          <w:rFonts w:ascii="Verdana" w:hAnsi="Verdana"/>
          <w:b/>
          <w:i/>
          <w:sz w:val="20"/>
          <w:szCs w:val="20"/>
        </w:rPr>
      </w:pPr>
      <w:r w:rsidRPr="00DA3046">
        <w:rPr>
          <w:rFonts w:ascii="Verdana" w:hAnsi="Verdana"/>
          <w:b/>
          <w:i/>
          <w:sz w:val="20"/>
          <w:szCs w:val="20"/>
        </w:rPr>
        <w:t>Ufficio Scolastico Regionale per la Liguria</w:t>
      </w:r>
    </w:p>
    <w:p w:rsidR="00DA3046" w:rsidRPr="00DA3046" w:rsidRDefault="00DA3046" w:rsidP="00DA3046">
      <w:pPr>
        <w:jc w:val="center"/>
        <w:rPr>
          <w:rFonts w:ascii="Verdana" w:hAnsi="Verdana"/>
          <w:b/>
          <w:i/>
          <w:sz w:val="20"/>
          <w:szCs w:val="20"/>
        </w:rPr>
      </w:pPr>
      <w:r w:rsidRPr="00DA3046">
        <w:rPr>
          <w:rFonts w:ascii="Verdana" w:hAnsi="Verdana"/>
          <w:b/>
          <w:i/>
          <w:sz w:val="20"/>
          <w:szCs w:val="20"/>
        </w:rPr>
        <w:t>Direzione Generale</w:t>
      </w:r>
    </w:p>
    <w:p w:rsidR="00DA3046" w:rsidRPr="00DA3046" w:rsidRDefault="00DA3046" w:rsidP="00DA3046">
      <w:pPr>
        <w:jc w:val="center"/>
        <w:rPr>
          <w:rFonts w:ascii="Verdana" w:hAnsi="Verdana"/>
          <w:i/>
          <w:sz w:val="20"/>
          <w:szCs w:val="20"/>
        </w:rPr>
      </w:pPr>
      <w:r w:rsidRPr="00DA3046">
        <w:rPr>
          <w:rFonts w:ascii="Verdana" w:hAnsi="Verdana"/>
          <w:i/>
          <w:sz w:val="20"/>
          <w:szCs w:val="20"/>
        </w:rPr>
        <w:t xml:space="preserve">Via </w:t>
      </w:r>
      <w:proofErr w:type="spellStart"/>
      <w:r w:rsidRPr="00DA3046">
        <w:rPr>
          <w:rFonts w:ascii="Verdana" w:hAnsi="Verdana"/>
          <w:i/>
          <w:sz w:val="20"/>
          <w:szCs w:val="20"/>
        </w:rPr>
        <w:t>Assarotti</w:t>
      </w:r>
      <w:proofErr w:type="spellEnd"/>
      <w:r w:rsidRPr="00DA3046">
        <w:rPr>
          <w:rFonts w:ascii="Verdana" w:hAnsi="Verdana"/>
          <w:i/>
          <w:sz w:val="20"/>
          <w:szCs w:val="20"/>
        </w:rPr>
        <w:t xml:space="preserve">, 38 - 16122 Genova - tel. 010/8331  –  </w:t>
      </w:r>
    </w:p>
    <w:p w:rsidR="00DA3046" w:rsidRPr="00DA3046" w:rsidRDefault="00DA3046" w:rsidP="00DA3046">
      <w:pPr>
        <w:jc w:val="center"/>
        <w:rPr>
          <w:rFonts w:ascii="Verdana" w:hAnsi="Verdana"/>
          <w:sz w:val="20"/>
          <w:szCs w:val="20"/>
        </w:rPr>
      </w:pPr>
      <w:r w:rsidRPr="00DA3046">
        <w:rPr>
          <w:rFonts w:ascii="Verdana" w:hAnsi="Verdana"/>
          <w:sz w:val="20"/>
          <w:szCs w:val="20"/>
        </w:rPr>
        <w:t xml:space="preserve">             </w:t>
      </w:r>
      <w:hyperlink r:id="rId6" w:history="1">
        <w:r w:rsidRPr="00DA3046">
          <w:rPr>
            <w:rStyle w:val="Collegamentoipertestuale"/>
            <w:rFonts w:ascii="Verdana" w:hAnsi="Verdana"/>
            <w:sz w:val="20"/>
            <w:szCs w:val="20"/>
          </w:rPr>
          <w:t>direzione-liguria@istruzione.it</w:t>
        </w:r>
      </w:hyperlink>
      <w:r w:rsidRPr="00DA3046">
        <w:rPr>
          <w:rFonts w:ascii="Verdana" w:hAnsi="Verdana"/>
          <w:sz w:val="20"/>
          <w:szCs w:val="20"/>
        </w:rPr>
        <w:t xml:space="preserve">      </w:t>
      </w:r>
      <w:r w:rsidRPr="00DA3046">
        <w:rPr>
          <w:rFonts w:ascii="Verdana" w:hAnsi="Verdana"/>
          <w:sz w:val="20"/>
          <w:szCs w:val="20"/>
          <w:u w:val="single"/>
        </w:rPr>
        <w:t>drli@postacert.istruzione.it</w:t>
      </w:r>
      <w:r w:rsidRPr="00DA3046">
        <w:rPr>
          <w:rFonts w:ascii="Verdana" w:hAnsi="Verdana"/>
          <w:sz w:val="20"/>
          <w:szCs w:val="20"/>
          <w:u w:val="single"/>
        </w:rPr>
        <w:tab/>
      </w:r>
      <w:r w:rsidRPr="00DA3046">
        <w:rPr>
          <w:rFonts w:ascii="Verdana" w:hAnsi="Verdana"/>
          <w:sz w:val="20"/>
          <w:szCs w:val="20"/>
        </w:rPr>
        <w:tab/>
      </w:r>
    </w:p>
    <w:p w:rsidR="00DA3046" w:rsidRDefault="00DA3046">
      <w:r w:rsidRPr="00DA3046">
        <w:t xml:space="preserve">Prot.n. </w:t>
      </w:r>
      <w:r w:rsidR="000D740D">
        <w:t>3731/D9</w:t>
      </w:r>
      <w:r w:rsidRPr="00DA3046">
        <w:t xml:space="preserve">                                                            </w:t>
      </w:r>
      <w:r w:rsidR="000D740D">
        <w:t xml:space="preserve">                      </w:t>
      </w:r>
      <w:r w:rsidRPr="00DA3046">
        <w:t xml:space="preserve">   Genova, </w:t>
      </w:r>
      <w:r w:rsidR="000D740D">
        <w:t>15 maggio 2015</w:t>
      </w:r>
    </w:p>
    <w:p w:rsidR="00DA3046" w:rsidRDefault="00DA3046"/>
    <w:p w:rsidR="00DA3046" w:rsidRDefault="00DA3046">
      <w:r>
        <w:t xml:space="preserve">                                                      IL DIRETTORE GENERALE</w:t>
      </w:r>
    </w:p>
    <w:p w:rsidR="00DA3046" w:rsidRDefault="00DA3046"/>
    <w:p w:rsidR="00DA3046" w:rsidRDefault="00DA3046" w:rsidP="00E1084C">
      <w:pPr>
        <w:ind w:left="709" w:hanging="709"/>
        <w:jc w:val="both"/>
      </w:pPr>
      <w:r>
        <w:t xml:space="preserve">VISTO il </w:t>
      </w:r>
      <w:r w:rsidR="0070047A">
        <w:t>D.P.R.</w:t>
      </w:r>
      <w:r>
        <w:t xml:space="preserve"> n. 487 del 9.5.1994, relativo al regolamento recante le norme sull’accesso agli impieghi nelle pubbliche amministrazioni e modalità di svolgimento dei concorsi, dei concorsi unici e delle altre forme di assunzioni nei pubblici impieghi;</w:t>
      </w:r>
    </w:p>
    <w:p w:rsidR="00BA778A" w:rsidRDefault="00DA3046" w:rsidP="00E1084C">
      <w:pPr>
        <w:ind w:left="709" w:hanging="709"/>
        <w:jc w:val="both"/>
      </w:pPr>
      <w:r>
        <w:t>VISTA la legge n. 241 del 7.8.1990 e successive modificazioni ed integrazioni ed il relativi Regolamento approvato con D.P.R. 184/</w:t>
      </w:r>
      <w:r w:rsidR="00BA778A">
        <w:t>2006;</w:t>
      </w:r>
    </w:p>
    <w:p w:rsidR="00BA778A" w:rsidRDefault="00BA778A" w:rsidP="00E1084C">
      <w:pPr>
        <w:ind w:left="709" w:hanging="709"/>
        <w:jc w:val="both"/>
      </w:pPr>
      <w:r>
        <w:t>VISTA la legge n. 68 del 12.3.1999;</w:t>
      </w:r>
    </w:p>
    <w:p w:rsidR="00BA778A" w:rsidRDefault="00BA778A" w:rsidP="00E1084C">
      <w:pPr>
        <w:ind w:left="709" w:hanging="709"/>
        <w:jc w:val="both"/>
      </w:pPr>
      <w:r>
        <w:t>VISTO il decreto legislativo 30 giugno 2003, n. 196 e successive modificazioni ed integrazioni;</w:t>
      </w:r>
    </w:p>
    <w:p w:rsidR="00DA3046" w:rsidRDefault="00BA778A" w:rsidP="00E1084C">
      <w:pPr>
        <w:ind w:left="709" w:hanging="709"/>
        <w:jc w:val="both"/>
      </w:pPr>
      <w:r>
        <w:t>VISTO il decreto legislativo 30  giugno 2003, n. 196 e successive modifiche ed integrazioni, recante il codice di protezione dei dati personali;</w:t>
      </w:r>
      <w:r w:rsidR="00DA3046" w:rsidRPr="00DA3046">
        <w:t xml:space="preserve"> </w:t>
      </w:r>
    </w:p>
    <w:p w:rsidR="00BA778A" w:rsidRDefault="00BA778A" w:rsidP="00E1084C">
      <w:pPr>
        <w:ind w:left="709" w:hanging="709"/>
        <w:jc w:val="both"/>
      </w:pPr>
      <w:r>
        <w:t>VISTO il decreto del Direttore Generale per il Personale Scolastico n. 82 del 24 settembre 2012, con il quale sono stati indetti, su base regionale, i concorsi a posti e cattedre, per titoli ed esami, finalizzati al reclutamento del personale docente nelle scuole dell’infanzia, primaria, secondaria di I e II grado, e successive modificazioni;</w:t>
      </w:r>
    </w:p>
    <w:p w:rsidR="00BA778A" w:rsidRDefault="00BA778A" w:rsidP="00E1084C">
      <w:pPr>
        <w:ind w:left="709" w:hanging="709"/>
        <w:jc w:val="both"/>
      </w:pPr>
      <w:r>
        <w:t>VISTI i propri provvedimenti con i quali è stata nominata e/o modificata e/o integrata la commissio</w:t>
      </w:r>
      <w:r w:rsidR="005E0187">
        <w:t>ne giudicatrice del concorso per titoli ed esami a posti per il reclutamento del personale docente nella scuola dell’infanzia;</w:t>
      </w:r>
    </w:p>
    <w:p w:rsidR="005E0187" w:rsidRDefault="000804D7" w:rsidP="00E1084C">
      <w:pPr>
        <w:ind w:left="709" w:hanging="709"/>
        <w:jc w:val="both"/>
      </w:pPr>
      <w:r>
        <w:t xml:space="preserve">VISTO il proprio provvedimento </w:t>
      </w:r>
      <w:proofErr w:type="spellStart"/>
      <w:r>
        <w:t>prot</w:t>
      </w:r>
      <w:proofErr w:type="spellEnd"/>
      <w:r>
        <w:t>. n. 6675/D9 del 28/8/2013</w:t>
      </w:r>
      <w:r w:rsidR="00E3795E">
        <w:t xml:space="preserve"> </w:t>
      </w:r>
      <w:r>
        <w:t>con il quale è stata approvata la graduatoria generale di merito per la classe</w:t>
      </w:r>
      <w:r w:rsidR="00795CBB">
        <w:t xml:space="preserve"> di insegnamento nella scuola dell’infanzia e sono stati dichiarati vincitori i candidati collocati utilmente nella graduatoria allegata;</w:t>
      </w:r>
    </w:p>
    <w:p w:rsidR="00795CBB" w:rsidRDefault="00795CBB" w:rsidP="00E1084C">
      <w:pPr>
        <w:suppressAutoHyphens w:val="0"/>
        <w:autoSpaceDE w:val="0"/>
        <w:autoSpaceDN w:val="0"/>
        <w:adjustRightInd w:val="0"/>
        <w:spacing w:line="240" w:lineRule="exact"/>
        <w:ind w:left="709" w:hanging="709"/>
        <w:jc w:val="both"/>
      </w:pPr>
      <w:r>
        <w:t xml:space="preserve">VISTA la sentenza n.  </w:t>
      </w:r>
      <w:r w:rsidRPr="00795CBB">
        <w:rPr>
          <w:rFonts w:eastAsiaTheme="minorHAnsi"/>
          <w:bCs/>
          <w:sz w:val="22"/>
          <w:szCs w:val="22"/>
          <w:lang w:eastAsia="en-US"/>
        </w:rPr>
        <w:t>00114/2015</w:t>
      </w:r>
      <w:r>
        <w:t xml:space="preserve"> </w:t>
      </w:r>
      <w:r w:rsidR="00E1084C">
        <w:t>depositata in data 22 gennaio 2015</w:t>
      </w:r>
      <w:r>
        <w:t xml:space="preserve"> del TAR Liguria che, </w:t>
      </w:r>
      <w:r w:rsidR="00E1084C">
        <w:t xml:space="preserve">          </w:t>
      </w:r>
      <w:r>
        <w:t>pronunciandosi sul ricorso n.</w:t>
      </w:r>
      <w:r w:rsidR="00E1084C" w:rsidRPr="00E1084C">
        <w:t xml:space="preserve"> 1093 del 2013</w:t>
      </w:r>
      <w:r w:rsidR="00E1084C">
        <w:rPr>
          <w:rFonts w:ascii="Garamond" w:eastAsiaTheme="minorHAnsi" w:hAnsi="Garamond" w:cs="Garamond"/>
          <w:sz w:val="30"/>
          <w:szCs w:val="30"/>
          <w:lang w:eastAsia="en-US"/>
        </w:rPr>
        <w:t xml:space="preserve">, </w:t>
      </w:r>
      <w:r w:rsidR="00E1084C" w:rsidRPr="00E1084C">
        <w:t>proposto da</w:t>
      </w:r>
      <w:r w:rsidR="00E1084C">
        <w:t xml:space="preserve">lla candidata Lucia Lopez Navarro   </w:t>
      </w:r>
      <w:r>
        <w:t xml:space="preserve">   avverso la graduatoria generale di merito del concorso per il reclutamento del personale docente per la scuola dell’infanzia,</w:t>
      </w:r>
      <w:r w:rsidR="00E3795E" w:rsidRPr="00E3795E">
        <w:t xml:space="preserve"> </w:t>
      </w:r>
      <w:r w:rsidR="007C245F">
        <w:t xml:space="preserve">Lucia Lopez Navarro </w:t>
      </w:r>
      <w:r>
        <w:t>nella parte in cui non include la ricorrente tra i candidati utilmente collocati nella graduatoria finale formata al termine delle prove di concorso, accoglie il ricorso;</w:t>
      </w:r>
    </w:p>
    <w:p w:rsidR="00E1084C" w:rsidRDefault="00795CBB" w:rsidP="0070047A">
      <w:pPr>
        <w:suppressAutoHyphens w:val="0"/>
        <w:autoSpaceDE w:val="0"/>
        <w:autoSpaceDN w:val="0"/>
        <w:adjustRightInd w:val="0"/>
        <w:ind w:left="709" w:hanging="709"/>
        <w:jc w:val="both"/>
      </w:pPr>
      <w:r>
        <w:t xml:space="preserve">RITENUTO doveroso dare esecuzione alla sentenza di cui sopra che </w:t>
      </w:r>
      <w:r w:rsidR="00E3795E">
        <w:t>annulla “</w:t>
      </w:r>
      <w:r w:rsidR="00E1084C" w:rsidRPr="00E3795E">
        <w:t>la graduatoria finale della</w:t>
      </w:r>
      <w:r w:rsidR="00E3795E">
        <w:t xml:space="preserve"> </w:t>
      </w:r>
      <w:r w:rsidR="00E1084C" w:rsidRPr="00E3795E">
        <w:t>procedura concorsuale, nella sola parte in cui non comprende</w:t>
      </w:r>
      <w:r w:rsidR="00E3795E">
        <w:t xml:space="preserve"> </w:t>
      </w:r>
      <w:r w:rsidR="00E1084C" w:rsidRPr="00E3795E">
        <w:t>l’odierna ricorrente, in posizione corrispondente al punteggio</w:t>
      </w:r>
      <w:r w:rsidR="00E3795E">
        <w:t xml:space="preserve"> </w:t>
      </w:r>
      <w:r w:rsidR="00E1084C" w:rsidRPr="00E3795E">
        <w:t>complessivamente attribuitole all’esito della valutazione dei titoli e</w:t>
      </w:r>
      <w:r w:rsidR="00E3795E">
        <w:t xml:space="preserve"> </w:t>
      </w:r>
      <w:r w:rsidR="00E1084C" w:rsidRPr="00E3795E">
        <w:t>delle prove</w:t>
      </w:r>
      <w:r w:rsidR="00E3795E">
        <w:t>”;</w:t>
      </w:r>
    </w:p>
    <w:p w:rsidR="00E3795E" w:rsidRDefault="00E3795E" w:rsidP="0070047A">
      <w:pPr>
        <w:suppressAutoHyphens w:val="0"/>
        <w:autoSpaceDE w:val="0"/>
        <w:autoSpaceDN w:val="0"/>
        <w:adjustRightInd w:val="0"/>
        <w:spacing w:line="360" w:lineRule="auto"/>
        <w:ind w:left="709" w:hanging="709"/>
      </w:pPr>
      <w:r>
        <w:t xml:space="preserve">                                                                  D E C R E T A</w:t>
      </w:r>
    </w:p>
    <w:p w:rsidR="00E3795E" w:rsidRDefault="00E3795E" w:rsidP="0070047A">
      <w:pPr>
        <w:jc w:val="both"/>
      </w:pPr>
      <w:r>
        <w:t xml:space="preserve"> La candidata Lucia Lopez Navarro è inserita a pieno titolo con punti    </w:t>
      </w:r>
      <w:r w:rsidR="007C245F">
        <w:t>61,50</w:t>
      </w:r>
      <w:r>
        <w:t xml:space="preserve">/100 al posto n. </w:t>
      </w:r>
      <w:r w:rsidR="007C245F">
        <w:t>25</w:t>
      </w:r>
      <w:r>
        <w:t xml:space="preserve"> </w:t>
      </w:r>
      <w:r w:rsidR="009334B7">
        <w:t xml:space="preserve"> </w:t>
      </w:r>
      <w:r>
        <w:t xml:space="preserve">della graduatoria generale di merito approvata con D.D.G. </w:t>
      </w:r>
      <w:proofErr w:type="spellStart"/>
      <w:r>
        <w:t>prot</w:t>
      </w:r>
      <w:proofErr w:type="spellEnd"/>
      <w:r>
        <w:t>. n. 6675/D9 del 28/8/2013  del concorso per il reclutamento del personale docente per la scuola dell’infanzia</w:t>
      </w:r>
      <w:r w:rsidR="009334B7">
        <w:t>,</w:t>
      </w:r>
      <w:r>
        <w:t xml:space="preserve"> indetto  con D.D.G. n. 82/2012, che risulta pertant</w:t>
      </w:r>
      <w:r w:rsidR="009334B7">
        <w:t>o modificata come da graduatori</w:t>
      </w:r>
      <w:r>
        <w:t>a allegata al presente decreto del quale costituisce parte integrante</w:t>
      </w:r>
      <w:r w:rsidR="008629C8">
        <w:t>.</w:t>
      </w:r>
    </w:p>
    <w:p w:rsidR="008629C8" w:rsidRDefault="008629C8" w:rsidP="009334B7">
      <w:pPr>
        <w:jc w:val="both"/>
      </w:pPr>
      <w:r>
        <w:t xml:space="preserve">Avverso il presente provvedimento è ammesso, per soli vizi di legittimità, ricorso straordinario al Presidente della Repubblica, entro 120 giorni, oppure ricorso giurisdizionale al TAR, entro 60 giorni dalla data di pubblicazione </w:t>
      </w:r>
      <w:r>
        <w:rPr>
          <w:bCs/>
        </w:rPr>
        <w:t xml:space="preserve">al sito web di questo U.S.R. : </w:t>
      </w:r>
      <w:hyperlink r:id="rId7" w:history="1">
        <w:r>
          <w:rPr>
            <w:rStyle w:val="Collegamentoipertestuale"/>
            <w:bCs/>
          </w:rPr>
          <w:t>www.</w:t>
        </w:r>
        <w:r>
          <w:rPr>
            <w:rStyle w:val="Collegamentoipertestuale"/>
            <w:b/>
            <w:bCs/>
          </w:rPr>
          <w:t>istruzioneliguria</w:t>
        </w:r>
        <w:r>
          <w:rPr>
            <w:rStyle w:val="Collegamentoipertestuale"/>
            <w:bCs/>
          </w:rPr>
          <w:t>.it/</w:t>
        </w:r>
      </w:hyperlink>
      <w:r>
        <w:t>.Della pubblicazione del presente decreto è data contemporanea c</w:t>
      </w:r>
      <w:r w:rsidR="00C67939">
        <w:t>omunicazione tramite la rete IN</w:t>
      </w:r>
      <w:r>
        <w:t>TRANET e sul sito INTERNET del Ministero dell’Istruzione, dell’Università e della Ricerca.</w:t>
      </w:r>
    </w:p>
    <w:p w:rsidR="0070047A" w:rsidRDefault="0070047A" w:rsidP="009334B7">
      <w:pPr>
        <w:jc w:val="both"/>
      </w:pPr>
    </w:p>
    <w:p w:rsidR="00C67939" w:rsidRDefault="00C67939" w:rsidP="00E3795E">
      <w:pPr>
        <w:ind w:left="709"/>
      </w:pPr>
      <w:r>
        <w:t xml:space="preserve">                                                                   </w:t>
      </w:r>
      <w:r w:rsidR="0070047A">
        <w:t xml:space="preserve">         </w:t>
      </w:r>
      <w:r>
        <w:t xml:space="preserve"> </w:t>
      </w:r>
      <w:r w:rsidR="00E32439">
        <w:t xml:space="preserve">IL DIRETTORE </w:t>
      </w:r>
      <w:bookmarkStart w:id="0" w:name="_GoBack"/>
      <w:bookmarkEnd w:id="0"/>
      <w:r>
        <w:t>GENERALE</w:t>
      </w:r>
    </w:p>
    <w:p w:rsidR="0070047A" w:rsidRDefault="00C67939" w:rsidP="0070047A">
      <w:pPr>
        <w:ind w:right="-852"/>
        <w:jc w:val="center"/>
      </w:pPr>
      <w:r>
        <w:t xml:space="preserve">                                               Rosaria Pagano</w:t>
      </w:r>
      <w:r w:rsidR="0070047A">
        <w:t xml:space="preserve">                                                              </w:t>
      </w:r>
      <w:r w:rsidR="0070047A">
        <w:t xml:space="preserve">                                        </w:t>
      </w:r>
    </w:p>
    <w:p w:rsidR="0070047A" w:rsidRDefault="0070047A" w:rsidP="0070047A">
      <w:pPr>
        <w:ind w:right="-852"/>
        <w:jc w:val="center"/>
      </w:pPr>
      <w:r>
        <w:t xml:space="preserve">                                                               </w:t>
      </w:r>
      <w:r>
        <w:t xml:space="preserve">Firma autografa sostituita a mezzo stampa                                                                 </w:t>
      </w:r>
    </w:p>
    <w:p w:rsidR="004625A8" w:rsidRDefault="0070047A" w:rsidP="0070047A">
      <w:pPr>
        <w:ind w:right="-852"/>
        <w:jc w:val="center"/>
      </w:pPr>
      <w:r>
        <w:t xml:space="preserve">                                                           ai sensi  dell’ art. 3, comma 2 del </w:t>
      </w:r>
      <w:proofErr w:type="spellStart"/>
      <w:r>
        <w:t>D.Lgs.</w:t>
      </w:r>
      <w:proofErr w:type="spellEnd"/>
      <w:r>
        <w:t xml:space="preserve"> 39/93</w:t>
      </w:r>
      <w:r w:rsidR="004625A8">
        <w:br w:type="page"/>
      </w:r>
    </w:p>
    <w:p w:rsidR="004625A8" w:rsidRDefault="004625A8" w:rsidP="00E3795E">
      <w:pPr>
        <w:ind w:left="709"/>
        <w:sectPr w:rsidR="004625A8" w:rsidSect="009334B7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67939" w:rsidRDefault="00C67939" w:rsidP="00E3795E">
      <w:pPr>
        <w:ind w:left="709"/>
      </w:pPr>
    </w:p>
    <w:tbl>
      <w:tblPr>
        <w:tblW w:w="14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9"/>
        <w:gridCol w:w="718"/>
        <w:gridCol w:w="596"/>
        <w:gridCol w:w="585"/>
        <w:gridCol w:w="585"/>
        <w:gridCol w:w="585"/>
        <w:gridCol w:w="585"/>
        <w:gridCol w:w="585"/>
        <w:gridCol w:w="585"/>
        <w:gridCol w:w="585"/>
        <w:gridCol w:w="685"/>
        <w:gridCol w:w="685"/>
        <w:gridCol w:w="685"/>
        <w:gridCol w:w="685"/>
        <w:gridCol w:w="574"/>
        <w:gridCol w:w="974"/>
        <w:gridCol w:w="1485"/>
      </w:tblGrid>
      <w:tr w:rsidR="004625A8" w:rsidRPr="004625A8" w:rsidTr="00B9348C">
        <w:trPr>
          <w:trHeight w:val="315"/>
        </w:trPr>
        <w:tc>
          <w:tcPr>
            <w:tcW w:w="14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GRADUATORIA</w:t>
            </w:r>
            <w:r w:rsidR="009E1AED">
              <w:rPr>
                <w:b/>
                <w:bCs/>
                <w:sz w:val="20"/>
                <w:szCs w:val="20"/>
                <w:lang w:eastAsia="it-IT"/>
              </w:rPr>
              <w:t xml:space="preserve"> GENERALE DI MERITO</w:t>
            </w:r>
            <w:r w:rsidRPr="004625A8">
              <w:rPr>
                <w:b/>
                <w:bCs/>
                <w:sz w:val="20"/>
                <w:szCs w:val="20"/>
                <w:lang w:eastAsia="it-IT"/>
              </w:rPr>
              <w:t xml:space="preserve"> CONCORSO DOCENTI DDG 82/2012 CLASSE INFANZIA REGIONE LIGURIA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Candidato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Orali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A.1.1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A.1.2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A.1.1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A.2.17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B.1.1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4625A8">
              <w:rPr>
                <w:b/>
                <w:bCs/>
                <w:sz w:val="20"/>
                <w:szCs w:val="20"/>
                <w:lang w:eastAsia="it-IT"/>
              </w:rPr>
              <w:t>PREFERENZE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TIMOSSI PAOLA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MONTALI ALESSANDRA (*)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84,5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CHIRIATTI ROSANNA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82,5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PALUMBO MARIANNA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TRAPELLA SIMONA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76,5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GARIBALDI SONIA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SPINELLA MANUELA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GUGGINO STEFANIA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73,5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PESCE ARIANNA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NUOVO MAURA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71,5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CECCUCCI ANNALISA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VIGNOLA SARA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67,5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STROLIGO LUCIA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LEONCINI ANNA VIOLA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66,25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COSTELLI ALICE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u w:val="single"/>
                <w:lang w:eastAsia="it-IT"/>
              </w:rPr>
            </w:pPr>
            <w:r w:rsidRPr="004625A8">
              <w:rPr>
                <w:sz w:val="20"/>
                <w:szCs w:val="20"/>
                <w:u w:val="single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CASTAGNETO ELISA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65,5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CARUCCIO ANNA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65,25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THEA ALESSANDRA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D3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FAGIOLI CRISTINA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GHIONE LUISA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63,75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R2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BRUZZO SONIA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0,25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63,75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DIANA MONICA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63,5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R2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RUFOLO CATERINA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u w:val="single"/>
                <w:lang w:eastAsia="it-IT"/>
              </w:rPr>
            </w:pPr>
            <w:r w:rsidRPr="004625A8">
              <w:rPr>
                <w:sz w:val="20"/>
                <w:szCs w:val="20"/>
                <w:u w:val="single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63,5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D3</w:t>
            </w:r>
          </w:p>
        </w:tc>
      </w:tr>
      <w:tr w:rsidR="004625A8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VIGNALI SARA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63,5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B9348C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LOPEZ NAVARRO LUCIA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7C245F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1,50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7C245F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61,50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  <w:tr w:rsidR="00B9348C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IMPERIALE PAOLA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0,25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60,25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B9348C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BARBIERI SILVIA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8C" w:rsidRPr="004625A8" w:rsidRDefault="00B9348C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B9348C" w:rsidRPr="004625A8" w:rsidTr="00B9348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TILOCA FRANCESCA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jc w:val="right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59,7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48C" w:rsidRPr="004625A8" w:rsidRDefault="00B9348C" w:rsidP="00B1185D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 </w:t>
            </w:r>
          </w:p>
        </w:tc>
      </w:tr>
      <w:tr w:rsidR="004625A8" w:rsidRPr="004625A8" w:rsidTr="00B9348C">
        <w:trPr>
          <w:trHeight w:val="255"/>
        </w:trPr>
        <w:tc>
          <w:tcPr>
            <w:tcW w:w="14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8" w:rsidRPr="004625A8" w:rsidRDefault="004625A8" w:rsidP="004625A8">
            <w:pPr>
              <w:suppressAutoHyphens w:val="0"/>
              <w:rPr>
                <w:sz w:val="20"/>
                <w:szCs w:val="20"/>
                <w:lang w:eastAsia="it-IT"/>
              </w:rPr>
            </w:pPr>
            <w:r w:rsidRPr="004625A8">
              <w:rPr>
                <w:sz w:val="20"/>
                <w:szCs w:val="20"/>
                <w:lang w:eastAsia="it-IT"/>
              </w:rPr>
              <w:t>(*) AMMESSA CON RISERVA</w:t>
            </w:r>
          </w:p>
        </w:tc>
      </w:tr>
    </w:tbl>
    <w:p w:rsidR="004625A8" w:rsidRPr="00DA3046" w:rsidRDefault="004625A8" w:rsidP="00E3795E">
      <w:pPr>
        <w:ind w:left="709"/>
      </w:pPr>
    </w:p>
    <w:sectPr w:rsidR="004625A8" w:rsidRPr="00DA3046" w:rsidSect="004625A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6"/>
    <w:rsid w:val="000804D7"/>
    <w:rsid w:val="000D740D"/>
    <w:rsid w:val="004625A8"/>
    <w:rsid w:val="00546F62"/>
    <w:rsid w:val="005E0187"/>
    <w:rsid w:val="006B6149"/>
    <w:rsid w:val="0070047A"/>
    <w:rsid w:val="00795CBB"/>
    <w:rsid w:val="007C245F"/>
    <w:rsid w:val="008629C8"/>
    <w:rsid w:val="009334B7"/>
    <w:rsid w:val="009E1AED"/>
    <w:rsid w:val="00B9348C"/>
    <w:rsid w:val="00BA778A"/>
    <w:rsid w:val="00C67939"/>
    <w:rsid w:val="00DA3046"/>
    <w:rsid w:val="00E1084C"/>
    <w:rsid w:val="00E32439"/>
    <w:rsid w:val="00E3795E"/>
    <w:rsid w:val="00F737A1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04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A304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04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A304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liguri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-liguri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2015-05-15T10:13:00Z</dcterms:created>
  <dcterms:modified xsi:type="dcterms:W3CDTF">2015-05-18T09:55:00Z</dcterms:modified>
</cp:coreProperties>
</file>